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F65E" w14:textId="796EF989" w:rsidR="007C1FF4" w:rsidRPr="005357C0" w:rsidRDefault="005357C0" w:rsidP="007C1FF4">
      <w:pPr>
        <w:rPr>
          <w:rFonts w:eastAsia="Times New Roman" w:cstheme="minorHAnsi"/>
          <w:b/>
          <w:sz w:val="24"/>
          <w:szCs w:val="24"/>
          <w:lang w:val="en-GB" w:eastAsia="en-GB"/>
        </w:rPr>
      </w:pPr>
      <w:r w:rsidRPr="005357C0">
        <w:rPr>
          <w:rFonts w:eastAsia="Times New Roman" w:cstheme="minorHAnsi"/>
          <w:b/>
          <w:sz w:val="24"/>
          <w:szCs w:val="24"/>
          <w:lang w:val="en-GB" w:eastAsia="en-GB"/>
        </w:rPr>
        <w:t>SUPPLEMENTARY FIGURES</w:t>
      </w:r>
    </w:p>
    <w:p w14:paraId="03998284" w14:textId="62F24C75" w:rsidR="007C1FF4" w:rsidRPr="005357C0" w:rsidRDefault="008E6D6E" w:rsidP="007C1FF4">
      <w:pPr>
        <w:spacing w:after="0" w:line="360" w:lineRule="auto"/>
        <w:rPr>
          <w:rFonts w:eastAsia="Calibri" w:cstheme="minorHAnsi"/>
          <w:b/>
          <w:sz w:val="20"/>
          <w:szCs w:val="32"/>
          <w:lang w:val="en-US"/>
        </w:rPr>
      </w:pPr>
      <w:r w:rsidRPr="005357C0">
        <w:rPr>
          <w:rFonts w:eastAsia="Calibri" w:cstheme="minorHAnsi"/>
          <w:b/>
          <w:noProof/>
          <w:sz w:val="20"/>
          <w:szCs w:val="32"/>
          <w:lang w:val="en-US"/>
        </w:rPr>
        <w:drawing>
          <wp:inline distT="0" distB="0" distL="0" distR="0" wp14:anchorId="2A1A3A18" wp14:editId="5510073B">
            <wp:extent cx="5759450" cy="8063230"/>
            <wp:effectExtent l="0" t="0" r="0" b="0"/>
            <wp:docPr id="2" name="Picture 2" descr="Engineering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ngineering drawing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6225" w14:textId="113094C5" w:rsidR="008E6D6E" w:rsidRPr="005357C0" w:rsidRDefault="005357C0" w:rsidP="008E6D6E">
      <w:pPr>
        <w:rPr>
          <w:rFonts w:eastAsia="Times New Roman" w:cstheme="minorHAnsi"/>
          <w:sz w:val="20"/>
          <w:szCs w:val="20"/>
          <w:lang w:val="en-GB" w:eastAsia="en-GB"/>
        </w:rPr>
      </w:pPr>
      <w:r w:rsidRPr="005357C0">
        <w:rPr>
          <w:rFonts w:eastAsia="Times New Roman" w:cstheme="minorHAnsi"/>
          <w:b/>
          <w:sz w:val="20"/>
          <w:szCs w:val="20"/>
          <w:lang w:val="en-GB" w:eastAsia="en-GB"/>
        </w:rPr>
        <w:t xml:space="preserve">FIGURE S1 </w:t>
      </w:r>
      <w:r w:rsidR="008E6D6E" w:rsidRPr="005357C0">
        <w:rPr>
          <w:rFonts w:eastAsia="Times New Roman" w:cstheme="minorHAnsi"/>
          <w:bCs/>
          <w:sz w:val="20"/>
          <w:szCs w:val="20"/>
          <w:lang w:val="en-GB" w:eastAsia="en-GB"/>
        </w:rPr>
        <w:t>Remaining c</w:t>
      </w:r>
      <w:r w:rsidR="008E6D6E" w:rsidRPr="005357C0">
        <w:rPr>
          <w:rFonts w:eastAsia="Times New Roman" w:cstheme="minorHAnsi"/>
          <w:sz w:val="20"/>
          <w:szCs w:val="20"/>
          <w:lang w:val="en-GB" w:eastAsia="en-GB"/>
        </w:rPr>
        <w:t xml:space="preserve">orrelation plots of amines between plasma and CSF in healthy </w:t>
      </w:r>
      <w:r w:rsidR="00A46333">
        <w:rPr>
          <w:rFonts w:eastAsia="Times New Roman" w:cstheme="minorHAnsi"/>
          <w:sz w:val="20"/>
          <w:szCs w:val="20"/>
          <w:lang w:val="en-GB" w:eastAsia="en-GB"/>
        </w:rPr>
        <w:t>controls</w:t>
      </w:r>
      <w:r w:rsidR="008E6D6E" w:rsidRPr="005357C0">
        <w:rPr>
          <w:rFonts w:eastAsia="Times New Roman" w:cstheme="minorHAnsi"/>
          <w:sz w:val="20"/>
          <w:szCs w:val="20"/>
          <w:lang w:val="en-GB" w:eastAsia="en-GB"/>
        </w:rPr>
        <w:t xml:space="preserve"> </w:t>
      </w:r>
    </w:p>
    <w:p w14:paraId="0FCD2B4B" w14:textId="77777777" w:rsidR="008E6D6E" w:rsidRPr="005357C0" w:rsidRDefault="008E6D6E" w:rsidP="008E6D6E">
      <w:pPr>
        <w:spacing w:line="360" w:lineRule="auto"/>
        <w:rPr>
          <w:rFonts w:eastAsia="Times New Roman" w:cstheme="minorHAnsi"/>
          <w:sz w:val="20"/>
          <w:szCs w:val="20"/>
          <w:lang w:val="en-GB" w:eastAsia="en-GB"/>
        </w:rPr>
        <w:sectPr w:rsidR="008E6D6E" w:rsidRPr="005357C0" w:rsidSect="00E432FF"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5357C0">
        <w:rPr>
          <w:rFonts w:eastAsia="Times New Roman" w:cstheme="minorHAnsi"/>
          <w:sz w:val="20"/>
          <w:szCs w:val="20"/>
          <w:lang w:val="en-GB" w:eastAsia="en-GB"/>
        </w:rPr>
        <w:lastRenderedPageBreak/>
        <w:t>Log</w:t>
      </w:r>
      <w:r w:rsidRPr="005357C0">
        <w:rPr>
          <w:rFonts w:eastAsia="Times New Roman" w:cstheme="minorHAnsi"/>
          <w:sz w:val="20"/>
          <w:szCs w:val="20"/>
          <w:vertAlign w:val="subscript"/>
          <w:lang w:val="en-GB" w:eastAsia="en-GB"/>
        </w:rPr>
        <w:t>10</w:t>
      </w:r>
      <w:r w:rsidRPr="005357C0">
        <w:rPr>
          <w:rFonts w:eastAsia="Times New Roman" w:cstheme="minorHAnsi"/>
          <w:sz w:val="20"/>
          <w:szCs w:val="20"/>
          <w:lang w:val="en-GB" w:eastAsia="en-GB"/>
        </w:rPr>
        <w:t xml:space="preserve"> transformed concentrations are plotted with plasma concentrations on the X-axis and CSF concentrations on the Y-axis. </w:t>
      </w:r>
      <w:bookmarkStart w:id="0" w:name="_Hlk62053021"/>
      <w:r w:rsidRPr="005357C0">
        <w:rPr>
          <w:rFonts w:eastAsia="Times New Roman" w:cstheme="minorHAnsi"/>
          <w:sz w:val="20"/>
          <w:szCs w:val="20"/>
          <w:lang w:val="en-GB" w:eastAsia="en-GB"/>
        </w:rPr>
        <w:t>Values below [mean - 4 * SD] and above [mean + 4 * SD] were replaced with these cut-offs.</w:t>
      </w:r>
      <w:bookmarkEnd w:id="0"/>
      <w:r w:rsidRPr="005357C0">
        <w:rPr>
          <w:rFonts w:eastAsia="Times New Roman" w:cstheme="minorHAnsi"/>
          <w:sz w:val="20"/>
          <w:szCs w:val="20"/>
          <w:lang w:val="en-GB" w:eastAsia="en-GB"/>
        </w:rPr>
        <w:t xml:space="preserve"> Plots are based on uncorrected data. The black line indicates linear regression line. CSF = cerebrospinal fluid. </w:t>
      </w:r>
    </w:p>
    <w:p w14:paraId="18F125B9" w14:textId="27EBFC32" w:rsidR="00701B11" w:rsidRPr="005357C0" w:rsidRDefault="00602EBF" w:rsidP="00E133F5">
      <w:pPr>
        <w:spacing w:after="0" w:line="360" w:lineRule="auto"/>
        <w:jc w:val="both"/>
        <w:rPr>
          <w:rFonts w:cstheme="minorHAnsi"/>
          <w:sz w:val="20"/>
          <w:szCs w:val="20"/>
          <w:lang w:val="en-US"/>
        </w:rPr>
      </w:pPr>
      <w:r w:rsidRPr="005357C0">
        <w:rPr>
          <w:rFonts w:cstheme="minorHAnsi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2A525D29" wp14:editId="6069F76E">
            <wp:extent cx="5759450" cy="4472353"/>
            <wp:effectExtent l="0" t="0" r="0" b="4445"/>
            <wp:docPr id="3" name="Picture 3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4"/>
                    <a:stretch/>
                  </pic:blipFill>
                  <pic:spPr bwMode="auto">
                    <a:xfrm>
                      <a:off x="0" y="0"/>
                      <a:ext cx="5759450" cy="447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7C0" w:rsidRPr="005357C0">
        <w:rPr>
          <w:rFonts w:cstheme="minorHAnsi"/>
          <w:b/>
          <w:sz w:val="20"/>
          <w:szCs w:val="20"/>
          <w:lang w:val="en-US"/>
        </w:rPr>
        <w:t>FIGURE S2</w:t>
      </w:r>
      <w:r w:rsidR="005357C0" w:rsidRPr="005357C0">
        <w:rPr>
          <w:rFonts w:cstheme="minorHAnsi"/>
          <w:sz w:val="20"/>
          <w:szCs w:val="20"/>
          <w:lang w:val="en-US"/>
        </w:rPr>
        <w:t xml:space="preserve"> </w:t>
      </w:r>
      <w:bookmarkStart w:id="1" w:name="_Hlk126061403"/>
      <w:r w:rsidR="00385DE7" w:rsidRPr="005357C0">
        <w:rPr>
          <w:rFonts w:cstheme="minorHAnsi"/>
          <w:sz w:val="20"/>
          <w:szCs w:val="20"/>
          <w:lang w:val="en-US"/>
        </w:rPr>
        <w:t xml:space="preserve">Correlation matrix of all possible metabolite ratios in healthy </w:t>
      </w:r>
      <w:r w:rsidR="00A46333">
        <w:rPr>
          <w:rFonts w:cstheme="minorHAnsi"/>
          <w:sz w:val="20"/>
          <w:szCs w:val="20"/>
          <w:lang w:val="en-US"/>
        </w:rPr>
        <w:t>controls</w:t>
      </w:r>
      <w:r w:rsidR="00701B11" w:rsidRPr="005357C0">
        <w:rPr>
          <w:rFonts w:cstheme="minorHAnsi"/>
          <w:sz w:val="20"/>
          <w:szCs w:val="20"/>
          <w:lang w:val="en-US"/>
        </w:rPr>
        <w:t xml:space="preserve"> split by </w:t>
      </w:r>
      <w:r w:rsidRPr="005357C0">
        <w:rPr>
          <w:rFonts w:cstheme="minorHAnsi"/>
          <w:sz w:val="20"/>
          <w:szCs w:val="20"/>
          <w:lang w:val="en-US"/>
        </w:rPr>
        <w:t>sex</w:t>
      </w:r>
      <w:bookmarkEnd w:id="1"/>
    </w:p>
    <w:p w14:paraId="58313946" w14:textId="2B49964C" w:rsidR="007C1FF4" w:rsidRPr="005357C0" w:rsidRDefault="0041721B" w:rsidP="00E133F5">
      <w:pPr>
        <w:spacing w:after="0" w:line="360" w:lineRule="auto"/>
        <w:jc w:val="both"/>
        <w:rPr>
          <w:rFonts w:cstheme="minorHAnsi"/>
          <w:sz w:val="20"/>
          <w:szCs w:val="20"/>
          <w:lang w:val="en-US"/>
        </w:rPr>
      </w:pPr>
      <w:r w:rsidRPr="0041721B">
        <w:rPr>
          <w:rFonts w:cstheme="minorHAnsi"/>
          <w:sz w:val="20"/>
          <w:szCs w:val="20"/>
          <w:lang w:val="en-US"/>
        </w:rPr>
        <w:t>(a)</w:t>
      </w:r>
      <w:r w:rsidR="00A3745C" w:rsidRPr="0041721B">
        <w:rPr>
          <w:rFonts w:cstheme="minorHAnsi"/>
          <w:sz w:val="20"/>
          <w:szCs w:val="20"/>
          <w:lang w:val="en-US"/>
        </w:rPr>
        <w:t xml:space="preserve"> </w:t>
      </w:r>
      <w:r w:rsidR="00602EBF" w:rsidRPr="0041721B">
        <w:rPr>
          <w:rFonts w:cstheme="minorHAnsi"/>
          <w:sz w:val="20"/>
          <w:szCs w:val="20"/>
          <w:lang w:val="en-US"/>
        </w:rPr>
        <w:t>fe</w:t>
      </w:r>
      <w:r w:rsidR="00385DE7" w:rsidRPr="0041721B">
        <w:rPr>
          <w:rFonts w:cstheme="minorHAnsi"/>
          <w:sz w:val="20"/>
          <w:szCs w:val="20"/>
          <w:lang w:val="en-US"/>
        </w:rPr>
        <w:t>males</w:t>
      </w:r>
      <w:r w:rsidR="00A3745C" w:rsidRPr="0041721B">
        <w:rPr>
          <w:rFonts w:cstheme="minorHAnsi"/>
          <w:sz w:val="20"/>
          <w:szCs w:val="20"/>
          <w:lang w:val="en-US"/>
        </w:rPr>
        <w:t xml:space="preserve"> and </w:t>
      </w:r>
      <w:r w:rsidRPr="0041721B">
        <w:rPr>
          <w:rFonts w:cstheme="minorHAnsi"/>
          <w:sz w:val="20"/>
          <w:szCs w:val="20"/>
          <w:lang w:val="en-US"/>
        </w:rPr>
        <w:t>(b)</w:t>
      </w:r>
      <w:r w:rsidR="00A3745C" w:rsidRPr="0041721B">
        <w:rPr>
          <w:rFonts w:cstheme="minorHAnsi"/>
          <w:sz w:val="20"/>
          <w:szCs w:val="20"/>
          <w:lang w:val="en-US"/>
        </w:rPr>
        <w:t xml:space="preserve"> males.</w:t>
      </w:r>
      <w:r w:rsidR="00701B11" w:rsidRPr="0041721B">
        <w:rPr>
          <w:rFonts w:cstheme="minorHAnsi"/>
          <w:sz w:val="20"/>
          <w:szCs w:val="20"/>
          <w:lang w:val="en-US"/>
        </w:rPr>
        <w:t xml:space="preserve"> </w:t>
      </w:r>
      <w:r w:rsidR="007C1FF4" w:rsidRPr="0041721B">
        <w:rPr>
          <w:rFonts w:cstheme="minorHAnsi"/>
          <w:sz w:val="20"/>
          <w:szCs w:val="24"/>
          <w:lang w:val="en-GB"/>
        </w:rPr>
        <w:t>Coefficients</w:t>
      </w:r>
      <w:r w:rsidR="007C1FF4" w:rsidRPr="005357C0">
        <w:rPr>
          <w:rFonts w:cstheme="minorHAnsi"/>
          <w:sz w:val="20"/>
          <w:szCs w:val="24"/>
          <w:lang w:val="en-GB"/>
        </w:rPr>
        <w:t xml:space="preserve"> of determination (R</w:t>
      </w:r>
      <w:r w:rsidR="007C1FF4" w:rsidRPr="005357C0">
        <w:rPr>
          <w:rFonts w:cstheme="minorHAnsi"/>
          <w:sz w:val="20"/>
          <w:szCs w:val="24"/>
          <w:vertAlign w:val="superscript"/>
          <w:lang w:val="en-GB"/>
        </w:rPr>
        <w:t>2</w:t>
      </w:r>
      <w:r w:rsidR="007C1FF4" w:rsidRPr="005357C0">
        <w:rPr>
          <w:rFonts w:cstheme="minorHAnsi"/>
          <w:sz w:val="20"/>
          <w:szCs w:val="24"/>
          <w:lang w:val="en-GB"/>
        </w:rPr>
        <w:t>) of all possible metabolite ratios are plotted. The higher the R</w:t>
      </w:r>
      <w:r w:rsidR="007C1FF4" w:rsidRPr="005357C0">
        <w:rPr>
          <w:rFonts w:cstheme="minorHAnsi"/>
          <w:sz w:val="20"/>
          <w:szCs w:val="24"/>
          <w:vertAlign w:val="superscript"/>
          <w:lang w:val="en-GB"/>
        </w:rPr>
        <w:t xml:space="preserve">2 </w:t>
      </w:r>
      <w:r w:rsidR="007C1FF4" w:rsidRPr="005357C0">
        <w:rPr>
          <w:rFonts w:cstheme="minorHAnsi"/>
          <w:sz w:val="20"/>
          <w:szCs w:val="24"/>
          <w:lang w:val="en-GB"/>
        </w:rPr>
        <w:t xml:space="preserve">the brighter the square. Grey squares: ratio not applicable. </w:t>
      </w:r>
    </w:p>
    <w:p w14:paraId="736F219F" w14:textId="77777777" w:rsidR="007C1FF4" w:rsidRPr="005357C0" w:rsidRDefault="007C1FF4" w:rsidP="007C1FF4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sz w:val="20"/>
          <w:szCs w:val="24"/>
          <w:lang w:val="en-GB"/>
        </w:rPr>
      </w:pPr>
    </w:p>
    <w:p w14:paraId="0969BFE2" w14:textId="77777777" w:rsidR="007C1FF4" w:rsidRPr="005357C0" w:rsidRDefault="007C1FF4" w:rsidP="007C1FF4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sz w:val="20"/>
          <w:szCs w:val="24"/>
          <w:lang w:val="en-GB"/>
        </w:rPr>
      </w:pPr>
    </w:p>
    <w:p w14:paraId="38F302F7" w14:textId="77777777" w:rsidR="007C1FF4" w:rsidRPr="005357C0" w:rsidRDefault="007C1FF4" w:rsidP="007C1FF4">
      <w:pPr>
        <w:widowControl w:val="0"/>
        <w:autoSpaceDE w:val="0"/>
        <w:autoSpaceDN w:val="0"/>
        <w:adjustRightInd w:val="0"/>
        <w:spacing w:after="0" w:line="360" w:lineRule="auto"/>
        <w:rPr>
          <w:rFonts w:cstheme="minorHAnsi"/>
          <w:sz w:val="20"/>
          <w:szCs w:val="24"/>
          <w:lang w:val="en-GB"/>
        </w:rPr>
      </w:pPr>
    </w:p>
    <w:p w14:paraId="39062B58" w14:textId="77777777" w:rsidR="00B91CDE" w:rsidRPr="005357C0" w:rsidRDefault="00B91CDE" w:rsidP="00B91CDE">
      <w:pPr>
        <w:spacing w:after="0" w:line="360" w:lineRule="auto"/>
        <w:rPr>
          <w:rFonts w:eastAsia="Calibri" w:cstheme="minorHAnsi"/>
          <w:b/>
          <w:sz w:val="20"/>
          <w:szCs w:val="20"/>
          <w:lang w:val="en-US"/>
        </w:rPr>
      </w:pPr>
    </w:p>
    <w:p w14:paraId="2353B06F" w14:textId="77777777" w:rsidR="009C27D5" w:rsidRPr="005357C0" w:rsidRDefault="00E432FF" w:rsidP="009C27D5">
      <w:pPr>
        <w:spacing w:after="0" w:line="360" w:lineRule="auto"/>
        <w:rPr>
          <w:rFonts w:eastAsia="Calibri" w:cstheme="minorHAnsi"/>
          <w:b/>
          <w:sz w:val="20"/>
          <w:szCs w:val="20"/>
          <w:lang w:val="en-US"/>
        </w:rPr>
      </w:pPr>
      <w:r w:rsidRPr="005357C0">
        <w:rPr>
          <w:rFonts w:eastAsia="Calibri" w:cstheme="minorHAnsi"/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0E448E17" wp14:editId="48701064">
            <wp:extent cx="5759450" cy="5759450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430E" w14:textId="77777777" w:rsidR="00E432FF" w:rsidRPr="005357C0" w:rsidRDefault="00E432FF" w:rsidP="009C27D5">
      <w:pPr>
        <w:spacing w:after="0" w:line="360" w:lineRule="auto"/>
        <w:rPr>
          <w:rFonts w:eastAsia="Calibri" w:cstheme="minorHAnsi"/>
          <w:b/>
          <w:sz w:val="20"/>
          <w:szCs w:val="20"/>
          <w:lang w:val="en-US"/>
        </w:rPr>
      </w:pPr>
    </w:p>
    <w:p w14:paraId="0DD354A5" w14:textId="4ED721F7" w:rsidR="00E432FF" w:rsidRPr="005357C0" w:rsidRDefault="005357C0" w:rsidP="00E432FF">
      <w:pPr>
        <w:spacing w:after="0" w:line="240" w:lineRule="auto"/>
        <w:contextualSpacing/>
        <w:mirrorIndents/>
        <w:jc w:val="both"/>
        <w:rPr>
          <w:rFonts w:eastAsia="Times New Roman" w:cstheme="minorHAnsi"/>
          <w:bCs/>
          <w:sz w:val="20"/>
          <w:szCs w:val="20"/>
          <w:lang w:val="en-US" w:eastAsia="en-GB"/>
        </w:rPr>
      </w:pPr>
      <w:r w:rsidRPr="005357C0">
        <w:rPr>
          <w:rFonts w:eastAsia="Times New Roman" w:cstheme="minorHAnsi"/>
          <w:b/>
          <w:sz w:val="20"/>
          <w:szCs w:val="20"/>
          <w:lang w:val="en-US" w:eastAsia="en-GB"/>
        </w:rPr>
        <w:t>FIGURE S3</w:t>
      </w:r>
      <w:r w:rsidRPr="005357C0">
        <w:rPr>
          <w:rFonts w:eastAsia="Times New Roman" w:cstheme="minorHAnsi"/>
          <w:bCs/>
          <w:sz w:val="20"/>
          <w:szCs w:val="20"/>
          <w:lang w:val="en-US" w:eastAsia="en-GB"/>
        </w:rPr>
        <w:t xml:space="preserve"> </w:t>
      </w:r>
      <w:bookmarkStart w:id="2" w:name="_Hlk126061438"/>
      <w:r w:rsidR="00E432FF" w:rsidRPr="005357C0">
        <w:rPr>
          <w:rFonts w:eastAsia="Times New Roman" w:cstheme="minorHAnsi"/>
          <w:bCs/>
          <w:sz w:val="20"/>
          <w:szCs w:val="20"/>
          <w:lang w:val="en-US" w:eastAsia="en-GB"/>
        </w:rPr>
        <w:t>The difference in coefficients of determination (R</w:t>
      </w:r>
      <w:r w:rsidR="00E432FF" w:rsidRPr="005357C0">
        <w:rPr>
          <w:rFonts w:eastAsia="Times New Roman" w:cstheme="minorHAnsi"/>
          <w:bCs/>
          <w:sz w:val="20"/>
          <w:szCs w:val="20"/>
          <w:vertAlign w:val="superscript"/>
          <w:lang w:val="en-US" w:eastAsia="en-GB"/>
        </w:rPr>
        <w:t>2</w:t>
      </w:r>
      <w:r w:rsidR="00E432FF" w:rsidRPr="005357C0">
        <w:rPr>
          <w:rFonts w:eastAsia="Times New Roman" w:cstheme="minorHAnsi"/>
          <w:bCs/>
          <w:sz w:val="20"/>
          <w:szCs w:val="20"/>
          <w:lang w:val="en-US" w:eastAsia="en-GB"/>
        </w:rPr>
        <w:t>) of all possible metabolite ratios in migraine</w:t>
      </w:r>
      <w:r w:rsidR="00A46333">
        <w:rPr>
          <w:rFonts w:eastAsia="Times New Roman" w:cstheme="minorHAnsi"/>
          <w:bCs/>
          <w:sz w:val="20"/>
          <w:szCs w:val="20"/>
          <w:lang w:val="en-US" w:eastAsia="en-GB"/>
        </w:rPr>
        <w:t xml:space="preserve"> participants</w:t>
      </w:r>
      <w:r w:rsidR="00E432FF" w:rsidRPr="005357C0">
        <w:rPr>
          <w:rFonts w:eastAsia="Times New Roman" w:cstheme="minorHAnsi"/>
          <w:bCs/>
          <w:sz w:val="20"/>
          <w:szCs w:val="20"/>
          <w:lang w:val="en-US" w:eastAsia="en-GB"/>
        </w:rPr>
        <w:t xml:space="preserve"> compared to healthy </w:t>
      </w:r>
      <w:r w:rsidR="00A46333">
        <w:rPr>
          <w:rFonts w:eastAsia="Times New Roman" w:cstheme="minorHAnsi"/>
          <w:bCs/>
          <w:sz w:val="20"/>
          <w:szCs w:val="20"/>
          <w:lang w:val="en-US" w:eastAsia="en-GB"/>
        </w:rPr>
        <w:t>control</w:t>
      </w:r>
      <w:r w:rsidR="00E432FF" w:rsidRPr="005357C0">
        <w:rPr>
          <w:rFonts w:eastAsia="Times New Roman" w:cstheme="minorHAnsi"/>
          <w:bCs/>
          <w:sz w:val="20"/>
          <w:szCs w:val="20"/>
          <w:lang w:val="en-US" w:eastAsia="en-GB"/>
        </w:rPr>
        <w:t>s</w:t>
      </w:r>
      <w:bookmarkEnd w:id="2"/>
      <w:r w:rsidR="00E432FF" w:rsidRPr="005357C0">
        <w:rPr>
          <w:rFonts w:eastAsia="Times New Roman" w:cstheme="minorHAnsi"/>
          <w:bCs/>
          <w:sz w:val="20"/>
          <w:szCs w:val="20"/>
          <w:lang w:val="en-US" w:eastAsia="en-GB"/>
        </w:rPr>
        <w:t xml:space="preserve">. The greater difference the brighter the square (blue = negative, red = positive). Grey squares: ratio not applicable. </w:t>
      </w:r>
    </w:p>
    <w:p w14:paraId="2A2CAE8D" w14:textId="77777777" w:rsidR="00B31929" w:rsidRPr="005357C0" w:rsidRDefault="00B31929" w:rsidP="004460E2">
      <w:pPr>
        <w:spacing w:after="0" w:line="360" w:lineRule="auto"/>
        <w:rPr>
          <w:rFonts w:cstheme="minorHAnsi"/>
          <w:lang w:val="en-US"/>
        </w:rPr>
      </w:pPr>
    </w:p>
    <w:sectPr w:rsidR="00B31929" w:rsidRPr="005357C0" w:rsidSect="0089338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CE0FD" w14:textId="77777777" w:rsidR="00D61979" w:rsidRDefault="00E432FF">
      <w:pPr>
        <w:spacing w:after="0" w:line="240" w:lineRule="auto"/>
      </w:pPr>
      <w:r>
        <w:separator/>
      </w:r>
    </w:p>
  </w:endnote>
  <w:endnote w:type="continuationSeparator" w:id="0">
    <w:p w14:paraId="4C078031" w14:textId="77777777" w:rsidR="00D61979" w:rsidRDefault="00E43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2874060"/>
      <w:docPartObj>
        <w:docPartGallery w:val="Page Numbers (Bottom of Page)"/>
        <w:docPartUnique/>
      </w:docPartObj>
    </w:sdtPr>
    <w:sdtEndPr/>
    <w:sdtContent>
      <w:p w14:paraId="14BEAFCB" w14:textId="77777777" w:rsidR="00893389" w:rsidRDefault="0089338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726ABBF6" w14:textId="77777777" w:rsidR="00893389" w:rsidRDefault="008933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45DA0" w14:textId="77777777" w:rsidR="00D61979" w:rsidRDefault="00E432FF">
      <w:pPr>
        <w:spacing w:after="0" w:line="240" w:lineRule="auto"/>
      </w:pPr>
      <w:r>
        <w:separator/>
      </w:r>
    </w:p>
  </w:footnote>
  <w:footnote w:type="continuationSeparator" w:id="0">
    <w:p w14:paraId="66F2217E" w14:textId="77777777" w:rsidR="00D61979" w:rsidRDefault="00E43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5522"/>
    <w:multiLevelType w:val="multilevel"/>
    <w:tmpl w:val="F326B050"/>
    <w:lvl w:ilvl="0">
      <w:start w:val="1"/>
      <w:numFmt w:val="decimal"/>
      <w:lvlText w:val="%1.0"/>
      <w:lvlJc w:val="left"/>
      <w:pPr>
        <w:ind w:left="4950" w:hanging="49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58" w:hanging="495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6366" w:hanging="49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74" w:hanging="49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82" w:hanging="49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490" w:hanging="495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98" w:hanging="495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06" w:hanging="495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14" w:hanging="4950"/>
      </w:pPr>
      <w:rPr>
        <w:rFonts w:hint="default"/>
      </w:rPr>
    </w:lvl>
  </w:abstractNum>
  <w:abstractNum w:abstractNumId="1" w15:restartNumberingAfterBreak="0">
    <w:nsid w:val="11011879"/>
    <w:multiLevelType w:val="hybridMultilevel"/>
    <w:tmpl w:val="62ACECF4"/>
    <w:lvl w:ilvl="0" w:tplc="D93EC8E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385F"/>
    <w:multiLevelType w:val="hybridMultilevel"/>
    <w:tmpl w:val="B1DA8924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D47080"/>
    <w:multiLevelType w:val="hybridMultilevel"/>
    <w:tmpl w:val="E94208BC"/>
    <w:lvl w:ilvl="0" w:tplc="3A66C4C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B1537"/>
    <w:multiLevelType w:val="hybridMultilevel"/>
    <w:tmpl w:val="73948A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B089B"/>
    <w:multiLevelType w:val="hybridMultilevel"/>
    <w:tmpl w:val="C42EB88C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24406715"/>
    <w:multiLevelType w:val="hybridMultilevel"/>
    <w:tmpl w:val="DB9A5E66"/>
    <w:lvl w:ilvl="0" w:tplc="627CA1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F67BE"/>
    <w:multiLevelType w:val="hybridMultilevel"/>
    <w:tmpl w:val="3E6AC228"/>
    <w:lvl w:ilvl="0" w:tplc="F3BAA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EC8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28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4A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1EB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7A6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E2D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6E6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5A4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9751A7B"/>
    <w:multiLevelType w:val="hybridMultilevel"/>
    <w:tmpl w:val="3416A81A"/>
    <w:lvl w:ilvl="0" w:tplc="989E4EE2">
      <w:start w:val="1"/>
      <w:numFmt w:val="decimal"/>
      <w:lvlText w:val="%1."/>
      <w:lvlJc w:val="left"/>
      <w:pPr>
        <w:ind w:left="360" w:hanging="360"/>
      </w:pPr>
      <w:rPr>
        <w:rFonts w:ascii="Tahoma" w:eastAsiaTheme="minorHAnsi" w:hAnsi="Tahoma" w:cs="Tahoma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CF5993"/>
    <w:multiLevelType w:val="hybridMultilevel"/>
    <w:tmpl w:val="806C5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5D24C1"/>
    <w:multiLevelType w:val="hybridMultilevel"/>
    <w:tmpl w:val="98382DB8"/>
    <w:lvl w:ilvl="0" w:tplc="CB1EDF8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C5985"/>
    <w:multiLevelType w:val="hybridMultilevel"/>
    <w:tmpl w:val="3C9A290C"/>
    <w:lvl w:ilvl="0" w:tplc="47260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F6E83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8B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4C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07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2A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6A7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D6DD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2C7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BB9469E"/>
    <w:multiLevelType w:val="hybridMultilevel"/>
    <w:tmpl w:val="E048A58E"/>
    <w:lvl w:ilvl="0" w:tplc="158A9D52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4DC5364E"/>
    <w:multiLevelType w:val="multilevel"/>
    <w:tmpl w:val="328A5146"/>
    <w:lvl w:ilvl="0">
      <w:start w:val="1"/>
      <w:numFmt w:val="decimal"/>
      <w:lvlText w:val="%1.0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776" w:hanging="360"/>
      </w:pPr>
      <w:rPr>
        <w:rFonts w:hint="default"/>
        <w:b w:val="0"/>
      </w:rPr>
    </w:lvl>
    <w:lvl w:ilvl="2">
      <w:start w:val="1"/>
      <w:numFmt w:val="upperLetter"/>
      <w:lvlText w:val="%1.%2.%3"/>
      <w:lvlJc w:val="left"/>
      <w:pPr>
        <w:ind w:left="284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552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46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328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63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710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8172" w:hanging="1800"/>
      </w:pPr>
      <w:rPr>
        <w:rFonts w:hint="default"/>
        <w:b w:val="0"/>
      </w:rPr>
    </w:lvl>
  </w:abstractNum>
  <w:abstractNum w:abstractNumId="14" w15:restartNumberingAfterBreak="0">
    <w:nsid w:val="4F483BAB"/>
    <w:multiLevelType w:val="hybridMultilevel"/>
    <w:tmpl w:val="92B8498A"/>
    <w:lvl w:ilvl="0" w:tplc="935843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41881"/>
    <w:multiLevelType w:val="multilevel"/>
    <w:tmpl w:val="18D885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0E35117"/>
    <w:multiLevelType w:val="multilevel"/>
    <w:tmpl w:val="69E4B9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5310435F"/>
    <w:multiLevelType w:val="hybridMultilevel"/>
    <w:tmpl w:val="256AAF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8F7E39"/>
    <w:multiLevelType w:val="hybridMultilevel"/>
    <w:tmpl w:val="52F60E46"/>
    <w:lvl w:ilvl="0" w:tplc="84AA0D1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B343AA"/>
    <w:multiLevelType w:val="multilevel"/>
    <w:tmpl w:val="158AC7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91241BB"/>
    <w:multiLevelType w:val="hybridMultilevel"/>
    <w:tmpl w:val="86ACF006"/>
    <w:lvl w:ilvl="0" w:tplc="36F2363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E5490F"/>
    <w:multiLevelType w:val="multilevel"/>
    <w:tmpl w:val="1DD02B82"/>
    <w:lvl w:ilvl="0">
      <w:start w:val="1"/>
      <w:numFmt w:val="decimal"/>
      <w:lvlText w:val="%1.0"/>
      <w:lvlJc w:val="left"/>
      <w:pPr>
        <w:ind w:left="4245" w:hanging="424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953" w:hanging="424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5661" w:hanging="4245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369" w:hanging="4245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077" w:hanging="4245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7785" w:hanging="4245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8493" w:hanging="4245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9201" w:hanging="4245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9909" w:hanging="4245"/>
      </w:pPr>
      <w:rPr>
        <w:rFonts w:hint="default"/>
        <w:b w:val="0"/>
      </w:rPr>
    </w:lvl>
  </w:abstractNum>
  <w:abstractNum w:abstractNumId="22" w15:restartNumberingAfterBreak="0">
    <w:nsid w:val="5C364C3E"/>
    <w:multiLevelType w:val="hybridMultilevel"/>
    <w:tmpl w:val="EF566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21E39"/>
    <w:multiLevelType w:val="hybridMultilevel"/>
    <w:tmpl w:val="E766D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80C9F"/>
    <w:multiLevelType w:val="hybridMultilevel"/>
    <w:tmpl w:val="9D182196"/>
    <w:lvl w:ilvl="0" w:tplc="02DC09F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523AA"/>
    <w:multiLevelType w:val="hybridMultilevel"/>
    <w:tmpl w:val="D8A821FA"/>
    <w:lvl w:ilvl="0" w:tplc="A246E198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E2260C"/>
    <w:multiLevelType w:val="multilevel"/>
    <w:tmpl w:val="97E0FBFE"/>
    <w:lvl w:ilvl="0">
      <w:start w:val="1"/>
      <w:numFmt w:val="decimal"/>
      <w:lvlText w:val="%1.0"/>
      <w:lvlJc w:val="left"/>
      <w:pPr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413" w:hanging="705"/>
      </w:pPr>
      <w:rPr>
        <w:rFonts w:hint="default"/>
        <w:b w:val="0"/>
      </w:rPr>
    </w:lvl>
    <w:lvl w:ilvl="2">
      <w:start w:val="1"/>
      <w:numFmt w:val="upperLetter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27" w15:restartNumberingAfterBreak="0">
    <w:nsid w:val="671C5772"/>
    <w:multiLevelType w:val="hybridMultilevel"/>
    <w:tmpl w:val="F3A0CF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6A6191"/>
    <w:multiLevelType w:val="hybridMultilevel"/>
    <w:tmpl w:val="56602A12"/>
    <w:lvl w:ilvl="0" w:tplc="5880A57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164FC0"/>
    <w:multiLevelType w:val="multilevel"/>
    <w:tmpl w:val="9C90E7CA"/>
    <w:lvl w:ilvl="0">
      <w:start w:val="1"/>
      <w:numFmt w:val="decimal"/>
      <w:lvlText w:val="%1.0"/>
      <w:lvlJc w:val="left"/>
      <w:pPr>
        <w:ind w:left="424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3" w:hanging="70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5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04" w:hanging="1800"/>
      </w:pPr>
      <w:rPr>
        <w:rFonts w:hint="default"/>
      </w:rPr>
    </w:lvl>
  </w:abstractNum>
  <w:abstractNum w:abstractNumId="30" w15:restartNumberingAfterBreak="0">
    <w:nsid w:val="7CA92321"/>
    <w:multiLevelType w:val="hybridMultilevel"/>
    <w:tmpl w:val="EBB05364"/>
    <w:lvl w:ilvl="0" w:tplc="ED9ABD5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628384">
    <w:abstractNumId w:val="0"/>
  </w:num>
  <w:num w:numId="2" w16cid:durableId="1205487631">
    <w:abstractNumId w:val="12"/>
  </w:num>
  <w:num w:numId="3" w16cid:durableId="830294542">
    <w:abstractNumId w:val="19"/>
  </w:num>
  <w:num w:numId="4" w16cid:durableId="1015115822">
    <w:abstractNumId w:val="29"/>
  </w:num>
  <w:num w:numId="5" w16cid:durableId="829716600">
    <w:abstractNumId w:val="13"/>
  </w:num>
  <w:num w:numId="6" w16cid:durableId="1425344330">
    <w:abstractNumId w:val="26"/>
  </w:num>
  <w:num w:numId="7" w16cid:durableId="1110203154">
    <w:abstractNumId w:val="16"/>
  </w:num>
  <w:num w:numId="8" w16cid:durableId="1920938923">
    <w:abstractNumId w:val="28"/>
  </w:num>
  <w:num w:numId="9" w16cid:durableId="1802991710">
    <w:abstractNumId w:val="3"/>
  </w:num>
  <w:num w:numId="10" w16cid:durableId="1178151529">
    <w:abstractNumId w:val="6"/>
  </w:num>
  <w:num w:numId="11" w16cid:durableId="954362598">
    <w:abstractNumId w:val="30"/>
  </w:num>
  <w:num w:numId="12" w16cid:durableId="1871071191">
    <w:abstractNumId w:val="24"/>
  </w:num>
  <w:num w:numId="13" w16cid:durableId="1488739609">
    <w:abstractNumId w:val="14"/>
  </w:num>
  <w:num w:numId="14" w16cid:durableId="1508978632">
    <w:abstractNumId w:val="7"/>
  </w:num>
  <w:num w:numId="15" w16cid:durableId="173230540">
    <w:abstractNumId w:val="11"/>
  </w:num>
  <w:num w:numId="16" w16cid:durableId="837771452">
    <w:abstractNumId w:val="21"/>
  </w:num>
  <w:num w:numId="17" w16cid:durableId="458376273">
    <w:abstractNumId w:val="22"/>
  </w:num>
  <w:num w:numId="18" w16cid:durableId="2126927172">
    <w:abstractNumId w:val="27"/>
  </w:num>
  <w:num w:numId="19" w16cid:durableId="931398691">
    <w:abstractNumId w:val="5"/>
  </w:num>
  <w:num w:numId="20" w16cid:durableId="1607811688">
    <w:abstractNumId w:val="23"/>
  </w:num>
  <w:num w:numId="21" w16cid:durableId="1276642923">
    <w:abstractNumId w:val="15"/>
  </w:num>
  <w:num w:numId="22" w16cid:durableId="959796164">
    <w:abstractNumId w:val="25"/>
  </w:num>
  <w:num w:numId="23" w16cid:durableId="397630165">
    <w:abstractNumId w:val="4"/>
  </w:num>
  <w:num w:numId="24" w16cid:durableId="1138568390">
    <w:abstractNumId w:val="9"/>
  </w:num>
  <w:num w:numId="25" w16cid:durableId="789057959">
    <w:abstractNumId w:val="17"/>
  </w:num>
  <w:num w:numId="26" w16cid:durableId="596061106">
    <w:abstractNumId w:val="2"/>
  </w:num>
  <w:num w:numId="27" w16cid:durableId="657271635">
    <w:abstractNumId w:val="8"/>
  </w:num>
  <w:num w:numId="28" w16cid:durableId="21246039">
    <w:abstractNumId w:val="10"/>
  </w:num>
  <w:num w:numId="29" w16cid:durableId="1127551528">
    <w:abstractNumId w:val="1"/>
  </w:num>
  <w:num w:numId="30" w16cid:durableId="975187687">
    <w:abstractNumId w:val="18"/>
  </w:num>
  <w:num w:numId="31" w16cid:durableId="6579207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FF4"/>
    <w:rsid w:val="000355D1"/>
    <w:rsid w:val="00114376"/>
    <w:rsid w:val="003629FE"/>
    <w:rsid w:val="00385DE7"/>
    <w:rsid w:val="0041721B"/>
    <w:rsid w:val="004460E2"/>
    <w:rsid w:val="00467A2F"/>
    <w:rsid w:val="005357C0"/>
    <w:rsid w:val="005D15EB"/>
    <w:rsid w:val="005D52D3"/>
    <w:rsid w:val="00602EBF"/>
    <w:rsid w:val="00701B11"/>
    <w:rsid w:val="007B3760"/>
    <w:rsid w:val="007C1FF4"/>
    <w:rsid w:val="00802DD3"/>
    <w:rsid w:val="00893389"/>
    <w:rsid w:val="008E6D6E"/>
    <w:rsid w:val="009C27D5"/>
    <w:rsid w:val="009D2207"/>
    <w:rsid w:val="00A3745C"/>
    <w:rsid w:val="00A46333"/>
    <w:rsid w:val="00AF1212"/>
    <w:rsid w:val="00B31929"/>
    <w:rsid w:val="00B868F6"/>
    <w:rsid w:val="00B91CDE"/>
    <w:rsid w:val="00C9423C"/>
    <w:rsid w:val="00CD4AFF"/>
    <w:rsid w:val="00D61979"/>
    <w:rsid w:val="00E133F5"/>
    <w:rsid w:val="00E40B30"/>
    <w:rsid w:val="00E432FF"/>
    <w:rsid w:val="00E66033"/>
    <w:rsid w:val="00EB44AC"/>
    <w:rsid w:val="00EC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926DBD"/>
  <w15:chartTrackingRefBased/>
  <w15:docId w15:val="{85196C4A-8256-4F8F-B176-90329733A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FF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F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C1FF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C1FF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FF4"/>
  </w:style>
  <w:style w:type="paragraph" w:styleId="Footer">
    <w:name w:val="footer"/>
    <w:basedOn w:val="Normal"/>
    <w:link w:val="FooterChar"/>
    <w:uiPriority w:val="99"/>
    <w:unhideWhenUsed/>
    <w:rsid w:val="007C1F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FF4"/>
  </w:style>
  <w:style w:type="table" w:styleId="TableGrid">
    <w:name w:val="Table Grid"/>
    <w:basedOn w:val="TableNormal"/>
    <w:uiPriority w:val="59"/>
    <w:rsid w:val="007C1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59"/>
    <w:rsid w:val="007C1FF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7C1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1F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FF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C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1F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C1FF4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C1FF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C1FF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C1FF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C1FF4"/>
    <w:rPr>
      <w:color w:val="808080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7C1FF4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7C1F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7C1FF4"/>
    <w:pPr>
      <w:spacing w:after="0"/>
      <w:jc w:val="center"/>
    </w:pPr>
    <w:rPr>
      <w:rFonts w:ascii="Tahoma" w:hAnsi="Tahoma" w:cs="Tahoma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C1FF4"/>
    <w:rPr>
      <w:rFonts w:ascii="Tahoma" w:hAnsi="Tahoma" w:cs="Tahoma"/>
      <w:noProof/>
      <w:sz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C1FF4"/>
    <w:pPr>
      <w:spacing w:line="240" w:lineRule="auto"/>
    </w:pPr>
    <w:rPr>
      <w:rFonts w:ascii="Tahoma" w:hAnsi="Tahoma" w:cs="Tahoma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C1FF4"/>
    <w:rPr>
      <w:rFonts w:ascii="Tahoma" w:hAnsi="Tahoma" w:cs="Tahoma"/>
      <w:noProof/>
      <w:sz w:val="20"/>
      <w:lang w:val="en-US"/>
    </w:rPr>
  </w:style>
  <w:style w:type="paragraph" w:styleId="NoSpacing">
    <w:name w:val="No Spacing"/>
    <w:uiPriority w:val="1"/>
    <w:qFormat/>
    <w:rsid w:val="007C1FF4"/>
    <w:pPr>
      <w:spacing w:after="0" w:line="240" w:lineRule="auto"/>
    </w:p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7C1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7C1FF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Harder, A.V.E. (NEUR)</dc:creator>
  <cp:keywords/>
  <dc:description/>
  <cp:lastModifiedBy>Harder, A.V.E. (KG)</cp:lastModifiedBy>
  <cp:revision>3</cp:revision>
  <dcterms:created xsi:type="dcterms:W3CDTF">2023-03-08T13:13:00Z</dcterms:created>
  <dcterms:modified xsi:type="dcterms:W3CDTF">2023-09-19T10:15:00Z</dcterms:modified>
</cp:coreProperties>
</file>